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2336" w:rsidRDefault="00532336" w:rsidP="00532336">
      <w:pPr>
        <w:contextualSpacing/>
        <w:jc w:val="both"/>
        <w:rPr>
          <w:rFonts w:ascii="Arial" w:eastAsia="Arial" w:hAnsi="Arial" w:cs="Arial"/>
          <w:b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  <w:r>
        <w:rPr>
          <w:noProof/>
          <w:lang w:eastAsia="sk-SK"/>
        </w:rPr>
        <w:drawing>
          <wp:inline distT="0" distB="0" distL="0" distR="0" wp14:anchorId="14AA347D" wp14:editId="60AC5355">
            <wp:extent cx="3924300" cy="1752600"/>
            <wp:effectExtent l="0" t="0" r="0" b="0"/>
            <wp:docPr id="1" name="Obrázok 1" descr="https://www.mfsr.sk/files/archiv/41/MinisterstvofinanciiSR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fsr.sk/files/archiv/41/MinisterstvofinanciiSR_ne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06" t="24120" r="15994" b="34401"/>
                    <a:stretch/>
                  </pic:blipFill>
                  <pic:spPr bwMode="auto">
                    <a:xfrm>
                      <a:off x="0" y="0"/>
                      <a:ext cx="3925265" cy="1753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2B5435" w:rsidRDefault="002B5435" w:rsidP="00532336">
      <w:pPr>
        <w:jc w:val="center"/>
        <w:rPr>
          <w:rFonts w:ascii="Arial" w:eastAsia="Arial" w:hAnsi="Arial" w:cs="Arial"/>
          <w:b/>
          <w:sz w:val="40"/>
          <w:szCs w:val="40"/>
          <w:lang w:eastAsia="sk-SK"/>
        </w:rPr>
      </w:pPr>
    </w:p>
    <w:p w:rsidR="00532336" w:rsidRPr="00532336" w:rsidRDefault="00532336" w:rsidP="00532336">
      <w:pPr>
        <w:jc w:val="center"/>
        <w:rPr>
          <w:rFonts w:ascii="Arial" w:eastAsia="Arial" w:hAnsi="Arial" w:cs="Arial"/>
          <w:b/>
          <w:sz w:val="40"/>
          <w:szCs w:val="40"/>
          <w:lang w:eastAsia="sk-SK"/>
        </w:rPr>
      </w:pPr>
      <w:r w:rsidRPr="00532336">
        <w:rPr>
          <w:rFonts w:ascii="Arial" w:eastAsia="Arial" w:hAnsi="Arial" w:cs="Arial"/>
          <w:b/>
          <w:sz w:val="40"/>
          <w:szCs w:val="40"/>
          <w:lang w:eastAsia="sk-SK"/>
        </w:rPr>
        <w:t>Rekonštrukcia budovy Ministerstva</w:t>
      </w:r>
    </w:p>
    <w:p w:rsidR="00532336" w:rsidRPr="00532336" w:rsidRDefault="00532336" w:rsidP="00532336">
      <w:pPr>
        <w:jc w:val="center"/>
        <w:rPr>
          <w:rFonts w:ascii="Arial" w:eastAsia="Arial" w:hAnsi="Arial" w:cs="Arial"/>
          <w:b/>
          <w:sz w:val="40"/>
          <w:szCs w:val="40"/>
          <w:lang w:eastAsia="sk-SK"/>
        </w:rPr>
      </w:pPr>
      <w:r w:rsidRPr="00532336">
        <w:rPr>
          <w:rFonts w:ascii="Arial" w:eastAsia="Arial" w:hAnsi="Arial" w:cs="Arial"/>
          <w:b/>
          <w:sz w:val="40"/>
          <w:szCs w:val="40"/>
          <w:lang w:eastAsia="sk-SK"/>
        </w:rPr>
        <w:t>financií  Slovenskej republiky</w:t>
      </w:r>
    </w:p>
    <w:p w:rsidR="00532336" w:rsidRPr="00532336" w:rsidRDefault="00532336" w:rsidP="00532336">
      <w:pPr>
        <w:jc w:val="center"/>
        <w:rPr>
          <w:rFonts w:ascii="Arial" w:eastAsia="Arial" w:hAnsi="Arial" w:cs="Arial"/>
          <w:sz w:val="32"/>
          <w:szCs w:val="32"/>
          <w:lang w:eastAsia="sk-SK"/>
        </w:rPr>
      </w:pPr>
      <w:r w:rsidRPr="00532336">
        <w:rPr>
          <w:rFonts w:ascii="Arial" w:eastAsia="Arial" w:hAnsi="Arial" w:cs="Arial"/>
          <w:sz w:val="32"/>
          <w:szCs w:val="32"/>
          <w:lang w:eastAsia="sk-SK"/>
        </w:rPr>
        <w:t>Riešenie priestorových, technických nedostatkov</w:t>
      </w:r>
    </w:p>
    <w:p w:rsidR="00532336" w:rsidRDefault="00532336" w:rsidP="00532336">
      <w:pPr>
        <w:jc w:val="center"/>
        <w:rPr>
          <w:rFonts w:ascii="Arial" w:eastAsia="Arial" w:hAnsi="Arial" w:cs="Arial"/>
          <w:b/>
          <w:sz w:val="32"/>
          <w:szCs w:val="32"/>
          <w:lang w:eastAsia="sk-SK"/>
        </w:rPr>
      </w:pPr>
      <w:r w:rsidRPr="00532336">
        <w:rPr>
          <w:rFonts w:ascii="Arial" w:eastAsia="Arial" w:hAnsi="Arial" w:cs="Arial"/>
          <w:sz w:val="32"/>
          <w:szCs w:val="32"/>
          <w:lang w:eastAsia="sk-SK"/>
        </w:rPr>
        <w:t>a zlepšenie pracovného prostredia</w:t>
      </w:r>
    </w:p>
    <w:p w:rsidR="002B5435" w:rsidRPr="00532336" w:rsidRDefault="002B5435" w:rsidP="00532336">
      <w:pPr>
        <w:jc w:val="center"/>
        <w:rPr>
          <w:rFonts w:ascii="Arial" w:eastAsia="Arial" w:hAnsi="Arial" w:cs="Arial"/>
          <w:b/>
          <w:sz w:val="32"/>
          <w:szCs w:val="32"/>
          <w:lang w:eastAsia="sk-SK"/>
        </w:rPr>
      </w:pPr>
      <w:r>
        <w:rPr>
          <w:rFonts w:ascii="Arial" w:eastAsia="Arial" w:hAnsi="Arial" w:cs="Arial"/>
          <w:b/>
          <w:sz w:val="32"/>
          <w:szCs w:val="32"/>
          <w:lang w:eastAsia="sk-SK"/>
        </w:rPr>
        <w:t>Parkovacie domy</w:t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jc w:val="center"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ind w:left="1080"/>
        <w:contextualSpacing/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</w:pPr>
      <w:r w:rsidRPr="00532336">
        <w:rPr>
          <w:rFonts w:ascii="Arial" w:eastAsia="Calibri" w:hAnsi="Arial" w:cs="Arial"/>
          <w:b/>
          <w:bCs/>
          <w:color w:val="000000"/>
          <w:sz w:val="24"/>
          <w:szCs w:val="24"/>
          <w:lang w:eastAsia="sk-SK"/>
        </w:rPr>
        <w:t>Cieľ projektu obnovy budovy MF SR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eastAsia="sk-SK"/>
        </w:rPr>
      </w:pPr>
    </w:p>
    <w:p w:rsidR="00532336" w:rsidRPr="00532336" w:rsidRDefault="00532336" w:rsidP="00532336">
      <w:pPr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color w:val="000000"/>
          <w:lang w:eastAsia="sk-SK"/>
        </w:rPr>
        <w:t>Cieľom projektu  je navrá</w:t>
      </w:r>
      <w:r w:rsidRPr="00532336">
        <w:rPr>
          <w:rFonts w:ascii="Arial" w:eastAsia="Calibri" w:hAnsi="Arial" w:cs="Arial"/>
          <w:color w:val="000000"/>
          <w:lang w:eastAsia="sk-SK"/>
        </w:rPr>
        <w:softHyphen/>
        <w:t xml:space="preserve">tiť MF SR </w:t>
      </w:r>
      <w:proofErr w:type="spellStart"/>
      <w:r w:rsidRPr="00532336">
        <w:rPr>
          <w:rFonts w:ascii="Arial" w:eastAsia="Calibri" w:hAnsi="Arial" w:cs="Arial"/>
          <w:color w:val="000000"/>
          <w:lang w:eastAsia="sk-SK"/>
        </w:rPr>
        <w:t>SR</w:t>
      </w:r>
      <w:proofErr w:type="spellEnd"/>
      <w:r w:rsidRPr="00532336">
        <w:rPr>
          <w:rFonts w:ascii="Arial" w:eastAsia="Calibri" w:hAnsi="Arial" w:cs="Arial"/>
          <w:color w:val="000000"/>
          <w:lang w:eastAsia="sk-SK"/>
        </w:rPr>
        <w:t xml:space="preserve"> funkčné, reprezentatívne a účelné miesto výkonu práce. Predstaviť a vyhodnotiť alternatívy a pristúpiť k obnove sídla inštitúcie s ohľadom na jej významnú architektonickú  a spoločenskú hodnotu, s ohľadom na efektivitu vynakladania ve</w:t>
      </w:r>
      <w:r w:rsidRPr="00532336">
        <w:rPr>
          <w:rFonts w:ascii="Arial" w:eastAsia="Calibri" w:hAnsi="Arial" w:cs="Arial"/>
          <w:color w:val="000000"/>
          <w:lang w:eastAsia="sk-SK"/>
        </w:rPr>
        <w:softHyphen/>
        <w:t>rejných prostriedkov, s cieľom dlhodobej technickej a energetickej udržateľnosti a efektivity prevádz</w:t>
      </w:r>
      <w:r w:rsidRPr="00532336">
        <w:rPr>
          <w:rFonts w:ascii="Arial" w:eastAsia="Calibri" w:hAnsi="Arial" w:cs="Arial"/>
          <w:color w:val="000000"/>
          <w:lang w:eastAsia="sk-SK"/>
        </w:rPr>
        <w:softHyphen/>
        <w:t>ky. Obnova má zabezpečiť opätovnú prevádzku v jednej budove a jej priestorové aktualizovanie pre potreby MF SR v štandardoch súčasných platných noriem.</w:t>
      </w:r>
    </w:p>
    <w:p w:rsidR="00532336" w:rsidRPr="00532336" w:rsidRDefault="00532336" w:rsidP="00532336">
      <w:pPr>
        <w:autoSpaceDE w:val="0"/>
        <w:autoSpaceDN w:val="0"/>
        <w:adjustRightInd w:val="0"/>
        <w:spacing w:after="220" w:line="181" w:lineRule="atLeast"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b/>
          <w:bCs/>
          <w:color w:val="000000"/>
          <w:lang w:eastAsia="sk-SK"/>
        </w:rPr>
        <w:t>Cieľom investície je:</w:t>
      </w:r>
    </w:p>
    <w:p w:rsidR="00532336" w:rsidRPr="00532336" w:rsidRDefault="00532336" w:rsidP="00532336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contextualSpacing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color w:val="000000"/>
          <w:lang w:eastAsia="sk-SK"/>
        </w:rPr>
        <w:t>Zvýšenie štandardu a zabezpečenie efektívnej prevádz</w:t>
      </w:r>
      <w:r w:rsidRPr="00532336">
        <w:rPr>
          <w:rFonts w:ascii="Arial" w:eastAsia="Calibri" w:hAnsi="Arial" w:cs="Arial"/>
          <w:color w:val="000000"/>
          <w:lang w:eastAsia="sk-SK"/>
        </w:rPr>
        <w:softHyphen/>
        <w:t>kyschopnosti inštitúcie MF SR v súlade s platnými technickými požiadavkami a normami.</w:t>
      </w:r>
    </w:p>
    <w:p w:rsidR="00532336" w:rsidRPr="00532336" w:rsidRDefault="00532336" w:rsidP="00532336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contextualSpacing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color w:val="000000"/>
          <w:lang w:eastAsia="sk-SK"/>
        </w:rPr>
        <w:t>Zlepšenie pracovného prostredia a zjednotenie všetkých organizačných útvarov MF SR do jedného priestoru zo zámerom zvýšenia efektivity práce a optimalizácia dispozície budovy.</w:t>
      </w:r>
    </w:p>
    <w:p w:rsidR="00532336" w:rsidRPr="00532336" w:rsidRDefault="00532336" w:rsidP="00532336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contextualSpacing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color w:val="000000"/>
          <w:lang w:eastAsia="sk-SK"/>
        </w:rPr>
        <w:t xml:space="preserve">Zvýšenie bezpečnosti budovy – zníženie počtu havárií a z toho vyplývajúcich rizík </w:t>
      </w:r>
    </w:p>
    <w:p w:rsidR="00532336" w:rsidRPr="00532336" w:rsidRDefault="00532336" w:rsidP="00532336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contextualSpacing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color w:val="000000"/>
          <w:lang w:eastAsia="sk-SK"/>
        </w:rPr>
        <w:t>Zníženie celkových nákladov súvisiacich s ener</w:t>
      </w:r>
      <w:r w:rsidRPr="00532336">
        <w:rPr>
          <w:rFonts w:ascii="Arial" w:eastAsia="Calibri" w:hAnsi="Arial" w:cs="Arial"/>
          <w:color w:val="000000"/>
          <w:lang w:eastAsia="sk-SK"/>
        </w:rPr>
        <w:softHyphen/>
        <w:t>getickou náročnosťou budovy o cca.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color w:val="000000"/>
          <w:lang w:eastAsia="sk-SK"/>
        </w:rPr>
        <w:t xml:space="preserve"> 50 %.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b/>
          <w:bCs/>
          <w:color w:val="000000"/>
          <w:lang w:eastAsia="sk-SK"/>
        </w:rPr>
        <w:t xml:space="preserve">      d.   </w:t>
      </w:r>
      <w:r w:rsidRPr="00532336">
        <w:rPr>
          <w:rFonts w:ascii="Arial" w:eastAsia="Calibri" w:hAnsi="Arial" w:cs="Arial"/>
          <w:color w:val="000000"/>
          <w:lang w:eastAsia="sk-SK"/>
        </w:rPr>
        <w:t xml:space="preserve">Obnova spoločensko-architektonickej hodnoty budovy 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b/>
          <w:bCs/>
          <w:color w:val="000000"/>
          <w:lang w:eastAsia="sk-SK"/>
        </w:rPr>
        <w:t xml:space="preserve">      e.   </w:t>
      </w:r>
      <w:r w:rsidRPr="00532336">
        <w:rPr>
          <w:rFonts w:ascii="Arial" w:eastAsia="Calibri" w:hAnsi="Arial" w:cs="Arial"/>
          <w:color w:val="000000"/>
          <w:lang w:eastAsia="sk-SK"/>
        </w:rPr>
        <w:t xml:space="preserve">Zníženie celkových nákladov súvisiacich so správou a prenájmom budov </w:t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eastAsia="sk-SK"/>
        </w:rPr>
      </w:pPr>
      <w:r w:rsidRPr="00532336">
        <w:rPr>
          <w:rFonts w:ascii="Arial" w:eastAsia="Calibri" w:hAnsi="Arial" w:cs="Arial"/>
          <w:color w:val="000000"/>
          <w:lang w:eastAsia="sk-SK"/>
        </w:rPr>
        <w:t xml:space="preserve">            a prevádzkových nákladov a nákladov na parkovanie zamestnan</w:t>
      </w:r>
      <w:r w:rsidRPr="00532336">
        <w:rPr>
          <w:rFonts w:ascii="Arial" w:eastAsia="Calibri" w:hAnsi="Arial" w:cs="Arial"/>
          <w:color w:val="000000"/>
          <w:lang w:eastAsia="sk-SK"/>
        </w:rPr>
        <w:softHyphen/>
        <w:t xml:space="preserve">cov. </w:t>
      </w:r>
    </w:p>
    <w:p w:rsidR="002B5435" w:rsidRPr="002B5435" w:rsidRDefault="002B5435" w:rsidP="002B5435">
      <w:pPr>
        <w:pStyle w:val="Odsekzoznamu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b/>
          <w:color w:val="000000"/>
          <w:lang w:eastAsia="sk-SK"/>
        </w:rPr>
      </w:pPr>
      <w:r w:rsidRPr="002B5435">
        <w:rPr>
          <w:rFonts w:ascii="Arial" w:eastAsia="Calibri" w:hAnsi="Arial" w:cs="Arial"/>
          <w:b/>
          <w:color w:val="000000"/>
          <w:lang w:eastAsia="sk-SK"/>
        </w:rPr>
        <w:t>Zvýšenie počtu parkovacích miest</w:t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eastAsia="sk-SK"/>
        </w:rPr>
      </w:pP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eastAsia="sk-SK"/>
        </w:rPr>
      </w:pPr>
    </w:p>
    <w:p w:rsidR="00532336" w:rsidRPr="00532336" w:rsidRDefault="00532336" w:rsidP="00532336">
      <w:pPr>
        <w:ind w:left="1080"/>
        <w:contextualSpacing/>
        <w:jc w:val="both"/>
        <w:rPr>
          <w:rFonts w:ascii="Arial" w:eastAsia="Arial" w:hAnsi="Arial" w:cs="Arial"/>
          <w:b/>
          <w:sz w:val="24"/>
          <w:szCs w:val="24"/>
          <w:lang w:eastAsia="sk-SK"/>
        </w:rPr>
      </w:pPr>
    </w:p>
    <w:p w:rsidR="00532336" w:rsidRDefault="00532336" w:rsidP="00532336">
      <w:pPr>
        <w:ind w:left="1080"/>
        <w:contextualSpacing/>
        <w:jc w:val="both"/>
        <w:rPr>
          <w:rFonts w:ascii="Arial" w:eastAsia="Arial" w:hAnsi="Arial" w:cs="Arial"/>
          <w:b/>
          <w:sz w:val="24"/>
          <w:szCs w:val="24"/>
          <w:lang w:eastAsia="sk-SK"/>
        </w:rPr>
      </w:pPr>
      <w:r w:rsidRPr="00532336">
        <w:rPr>
          <w:rFonts w:ascii="Arial" w:eastAsia="Arial" w:hAnsi="Arial" w:cs="Arial"/>
          <w:b/>
          <w:sz w:val="24"/>
          <w:szCs w:val="24"/>
          <w:lang w:eastAsia="sk-SK"/>
        </w:rPr>
        <w:t>Základné informácie o budove MF SR</w:t>
      </w:r>
    </w:p>
    <w:p w:rsidR="00532336" w:rsidRPr="00532336" w:rsidRDefault="00532336" w:rsidP="00532336">
      <w:pPr>
        <w:ind w:left="1080"/>
        <w:contextualSpacing/>
        <w:jc w:val="both"/>
        <w:rPr>
          <w:rFonts w:ascii="Arial" w:eastAsia="Arial" w:hAnsi="Arial" w:cs="Arial"/>
          <w:b/>
          <w:sz w:val="24"/>
          <w:szCs w:val="24"/>
          <w:lang w:eastAsia="sk-SK"/>
        </w:rPr>
      </w:pPr>
    </w:p>
    <w:p w:rsidR="00532336" w:rsidRPr="00532336" w:rsidRDefault="002B5435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>
        <w:rPr>
          <w:rFonts w:ascii="Arial" w:eastAsia="ArialMT" w:hAnsi="Arial" w:cs="Arial"/>
          <w:lang w:eastAsia="sk-SK"/>
        </w:rPr>
        <w:t>A</w:t>
      </w:r>
      <w:r w:rsidR="00532336" w:rsidRPr="00532336">
        <w:rPr>
          <w:rFonts w:ascii="Arial" w:eastAsia="ArialMT" w:hAnsi="Arial" w:cs="Arial"/>
          <w:lang w:eastAsia="sk-SK"/>
        </w:rPr>
        <w:t>dmin</w:t>
      </w:r>
      <w:r w:rsidR="00082950">
        <w:rPr>
          <w:rFonts w:ascii="Arial" w:eastAsia="ArialMT" w:hAnsi="Arial" w:cs="Arial"/>
          <w:lang w:eastAsia="sk-SK"/>
        </w:rPr>
        <w:t>istratívna budova v</w:t>
      </w:r>
      <w:r w:rsidR="007F5329">
        <w:rPr>
          <w:rFonts w:ascii="Arial" w:eastAsia="ArialMT" w:hAnsi="Arial" w:cs="Arial"/>
          <w:lang w:eastAsia="sk-SK"/>
        </w:rPr>
        <w:t xml:space="preserve"> majetku Slovenskej republiky a v </w:t>
      </w:r>
      <w:bookmarkStart w:id="0" w:name="_GoBack"/>
      <w:bookmarkEnd w:id="0"/>
      <w:r w:rsidR="00082950">
        <w:rPr>
          <w:rFonts w:ascii="Arial" w:eastAsia="ArialMT" w:hAnsi="Arial" w:cs="Arial"/>
          <w:lang w:eastAsia="sk-SK"/>
        </w:rPr>
        <w:t>správe</w:t>
      </w:r>
      <w:r w:rsidR="00532336" w:rsidRPr="00532336">
        <w:rPr>
          <w:rFonts w:ascii="Arial" w:eastAsia="ArialMT" w:hAnsi="Arial" w:cs="Arial"/>
          <w:lang w:eastAsia="sk-SK"/>
        </w:rPr>
        <w:t xml:space="preserve"> ministerstva financií SR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 w:rsidRPr="00532336">
        <w:rPr>
          <w:rFonts w:ascii="Arial" w:eastAsia="ArialMT" w:hAnsi="Arial" w:cs="Arial"/>
          <w:lang w:eastAsia="sk-SK"/>
        </w:rPr>
        <w:t xml:space="preserve">pozostávajúca z troch stavebných objektov (SO1, SO2 a SO3). Stavebné objekty sa nachádzajú na adrese Štefanovičová 5 a </w:t>
      </w:r>
      <w:proofErr w:type="spellStart"/>
      <w:r w:rsidRPr="00532336">
        <w:rPr>
          <w:rFonts w:ascii="Arial" w:eastAsia="ArialMT" w:hAnsi="Arial" w:cs="Arial"/>
          <w:lang w:eastAsia="sk-SK"/>
        </w:rPr>
        <w:t>Kýčerského</w:t>
      </w:r>
      <w:proofErr w:type="spellEnd"/>
      <w:r w:rsidRPr="00532336">
        <w:rPr>
          <w:rFonts w:ascii="Arial" w:eastAsia="ArialMT" w:hAnsi="Arial" w:cs="Arial"/>
          <w:lang w:eastAsia="sk-SK"/>
        </w:rPr>
        <w:t xml:space="preserve"> 1, 817 82 Bratislava – Staré Mesto. 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 w:rsidRPr="00532336">
        <w:rPr>
          <w:rFonts w:ascii="Arial" w:eastAsia="ArialMT" w:hAnsi="Arial" w:cs="Arial"/>
          <w:lang w:eastAsia="sk-SK"/>
        </w:rPr>
        <w:t xml:space="preserve">SO1 ( administratívna budova I ) a SO3 ( jedáleň a kuchyňa ) sa nachádza na Štefanovičovej ulici, parcela č. 7599 a 7593/5. Tieto dva objekty boli postavené v rokoch 1942 až 1944. SO2 ( administratívna budova II ) sa nachádza na </w:t>
      </w:r>
      <w:proofErr w:type="spellStart"/>
      <w:r w:rsidRPr="00532336">
        <w:rPr>
          <w:rFonts w:ascii="Arial" w:eastAsia="ArialMT" w:hAnsi="Arial" w:cs="Arial"/>
          <w:lang w:eastAsia="sk-SK"/>
        </w:rPr>
        <w:t>Kýčerského</w:t>
      </w:r>
      <w:proofErr w:type="spellEnd"/>
      <w:r w:rsidRPr="00532336">
        <w:rPr>
          <w:rFonts w:ascii="Arial" w:eastAsia="ArialMT" w:hAnsi="Arial" w:cs="Arial"/>
          <w:lang w:eastAsia="sk-SK"/>
        </w:rPr>
        <w:t xml:space="preserve"> ulici, parcela č. 7600.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 w:rsidRPr="00532336">
        <w:rPr>
          <w:rFonts w:ascii="Arial" w:eastAsia="ArialMT" w:hAnsi="Arial" w:cs="Arial"/>
          <w:lang w:eastAsia="sk-SK"/>
        </w:rPr>
        <w:t>Objekt bol postavený v rokoch 1948 až 1950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 w:rsidRPr="00532336">
        <w:rPr>
          <w:rFonts w:ascii="Arial" w:eastAsia="ArialMT" w:hAnsi="Arial" w:cs="Arial"/>
          <w:b/>
          <w:lang w:eastAsia="sk-SK"/>
        </w:rPr>
        <w:t>SO1</w:t>
      </w:r>
      <w:r w:rsidRPr="00532336">
        <w:rPr>
          <w:rFonts w:ascii="Arial" w:eastAsia="ArialMT" w:hAnsi="Arial" w:cs="Arial"/>
          <w:lang w:eastAsia="sk-SK"/>
        </w:rPr>
        <w:t xml:space="preserve"> sa skladá z 2 podzemných podlaží (archívne, skladové a technické priestory, výmenníková stanica, školiace priestory) a zo 7 nadzemných podlaží (1. až 6. NP – kancelárske priestory, 7. NP – strojovňa). Pôdorysný rozmer je v tvare T (66,010 x 55,685 m). Z koncových častí budovy a zo strednej časti je možný prestup do ostatných objektov (SO2 a SO3). V objekte sa nachádzajú zvislé komunikačné jadrá (výťahy a schodiská).</w:t>
      </w: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 w:rsidRPr="00532336">
        <w:rPr>
          <w:rFonts w:ascii="Arial" w:eastAsia="ArialMT" w:hAnsi="Arial" w:cs="Arial"/>
          <w:b/>
          <w:lang w:eastAsia="sk-SK"/>
        </w:rPr>
        <w:t>SO2</w:t>
      </w:r>
      <w:r w:rsidRPr="00532336">
        <w:rPr>
          <w:rFonts w:ascii="Arial" w:eastAsia="ArialMT" w:hAnsi="Arial" w:cs="Arial"/>
          <w:lang w:eastAsia="sk-SK"/>
        </w:rPr>
        <w:t xml:space="preserve"> sa skladá z 2 podzemných podlaží (archívne, skladové a technické priestory, CO kryt) a zo 7 nadzemných podlaží (1. až 6. NP – kancelárske priestory, 7. NP – strojovňa). Pôdorysný rozmer je obdĺžnikového tvaru (89,6 x 13,6 m). Zo strednej časti je možný prístup cez spojovací kŕčok do ďalšieho objektu (SO1). V objekte sa nachádza zvislé komunikačné jadro (výťah a schodisko).</w:t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 w:rsidRPr="00532336">
        <w:rPr>
          <w:rFonts w:ascii="Arial" w:eastAsia="ArialMT" w:hAnsi="Arial" w:cs="Arial"/>
          <w:b/>
          <w:lang w:eastAsia="sk-SK"/>
        </w:rPr>
        <w:t xml:space="preserve">SO3 </w:t>
      </w:r>
      <w:r w:rsidRPr="00532336">
        <w:rPr>
          <w:rFonts w:ascii="Arial" w:eastAsia="ArialMT" w:hAnsi="Arial" w:cs="Arial"/>
          <w:lang w:eastAsia="sk-SK"/>
        </w:rPr>
        <w:t xml:space="preserve">sa skladá z 1 podzemného podlažia (garáže, sklady, sociálne zariadenia a šatne) a 2 nadzemných podlaží (jedáleň, kuchyňa, soc. zariadenia, kancelária, sklady, bufet, galéria a strojovňa VTZ). Objekt je členitého tvaru. Na streche objektu sa nachádzajú zariadenia pre chladenie priestorov budovy. </w:t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2B5435" w:rsidRDefault="002B5435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2B5435" w:rsidRDefault="002B5435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2B5435" w:rsidRDefault="002B5435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b/>
          <w:sz w:val="24"/>
          <w:szCs w:val="24"/>
          <w:lang w:eastAsia="sk-SK"/>
        </w:rPr>
      </w:pPr>
      <w:r>
        <w:rPr>
          <w:rFonts w:ascii="Arial" w:eastAsia="ArialMT" w:hAnsi="Arial" w:cs="Arial"/>
          <w:b/>
          <w:sz w:val="24"/>
          <w:szCs w:val="24"/>
          <w:lang w:eastAsia="sk-SK"/>
        </w:rPr>
        <w:t xml:space="preserve">                                                    </w:t>
      </w:r>
    </w:p>
    <w:p w:rsidR="00532336" w:rsidRDefault="002B5435" w:rsidP="002B5435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ArialMT" w:hAnsi="Arial" w:cs="Arial"/>
          <w:b/>
          <w:sz w:val="24"/>
          <w:szCs w:val="24"/>
          <w:lang w:eastAsia="sk-SK"/>
        </w:rPr>
      </w:pPr>
      <w:r w:rsidRPr="002B5435">
        <w:rPr>
          <w:rFonts w:ascii="Arial" w:eastAsia="ArialMT" w:hAnsi="Arial" w:cs="Arial"/>
          <w:b/>
          <w:sz w:val="24"/>
          <w:szCs w:val="24"/>
          <w:lang w:eastAsia="sk-SK"/>
        </w:rPr>
        <w:t>Predmet štúdie</w:t>
      </w:r>
    </w:p>
    <w:p w:rsidR="002B5435" w:rsidRDefault="002B5435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b/>
          <w:sz w:val="24"/>
          <w:szCs w:val="24"/>
          <w:lang w:eastAsia="sk-SK"/>
        </w:rPr>
      </w:pPr>
    </w:p>
    <w:p w:rsidR="002B5435" w:rsidRDefault="002B5435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sz w:val="24"/>
          <w:szCs w:val="24"/>
          <w:lang w:eastAsia="sk-SK"/>
        </w:rPr>
      </w:pPr>
      <w:r w:rsidRPr="002B5435">
        <w:rPr>
          <w:rFonts w:ascii="Arial" w:eastAsia="ArialMT" w:hAnsi="Arial" w:cs="Arial"/>
          <w:sz w:val="24"/>
          <w:szCs w:val="24"/>
          <w:lang w:eastAsia="sk-SK"/>
        </w:rPr>
        <w:t>Predmetom štúdie je funkčné</w:t>
      </w:r>
      <w:r>
        <w:rPr>
          <w:rFonts w:ascii="Arial" w:eastAsia="ArialMT" w:hAnsi="Arial" w:cs="Arial"/>
          <w:sz w:val="24"/>
          <w:szCs w:val="24"/>
          <w:lang w:eastAsia="sk-SK"/>
        </w:rPr>
        <w:t xml:space="preserve"> umiestnenie parkovacích domov s ohľadom na geologické podmienky </w:t>
      </w:r>
      <w:r w:rsidR="00D71454">
        <w:rPr>
          <w:rFonts w:ascii="Arial" w:eastAsia="ArialMT" w:hAnsi="Arial" w:cs="Arial"/>
          <w:sz w:val="24"/>
          <w:szCs w:val="24"/>
          <w:lang w:eastAsia="sk-SK"/>
        </w:rPr>
        <w:t xml:space="preserve">, limity pamiatkovej zóny za predpokladu udržania </w:t>
      </w:r>
      <w:proofErr w:type="spellStart"/>
      <w:r w:rsidR="00D71454">
        <w:rPr>
          <w:rFonts w:ascii="Arial" w:eastAsia="ArialMT" w:hAnsi="Arial" w:cs="Arial"/>
          <w:sz w:val="24"/>
          <w:szCs w:val="24"/>
          <w:lang w:eastAsia="sk-SK"/>
        </w:rPr>
        <w:t>spoločensko</w:t>
      </w:r>
      <w:proofErr w:type="spellEnd"/>
      <w:r w:rsidR="00D71454">
        <w:rPr>
          <w:rFonts w:ascii="Arial" w:eastAsia="ArialMT" w:hAnsi="Arial" w:cs="Arial"/>
          <w:sz w:val="24"/>
          <w:szCs w:val="24"/>
          <w:lang w:eastAsia="sk-SK"/>
        </w:rPr>
        <w:t xml:space="preserve"> – architektonickej hodnoty budovy.</w:t>
      </w:r>
    </w:p>
    <w:p w:rsidR="00D71454" w:rsidRDefault="00D71454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sz w:val="24"/>
          <w:szCs w:val="24"/>
          <w:lang w:eastAsia="sk-SK"/>
        </w:rPr>
      </w:pPr>
    </w:p>
    <w:p w:rsidR="00D71454" w:rsidRDefault="00D71454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b/>
          <w:sz w:val="24"/>
          <w:szCs w:val="24"/>
          <w:lang w:eastAsia="sk-SK"/>
        </w:rPr>
      </w:pPr>
      <w:r w:rsidRPr="00D71454">
        <w:rPr>
          <w:rFonts w:ascii="Arial" w:eastAsia="ArialMT" w:hAnsi="Arial" w:cs="Arial"/>
          <w:b/>
          <w:sz w:val="24"/>
          <w:szCs w:val="24"/>
          <w:lang w:eastAsia="sk-SK"/>
        </w:rPr>
        <w:t>Aktuálne je na dotknutých plochách  umiestnených 44 parkovacích miest.</w:t>
      </w:r>
    </w:p>
    <w:p w:rsidR="00D71454" w:rsidRDefault="00D71454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b/>
          <w:sz w:val="24"/>
          <w:szCs w:val="24"/>
          <w:lang w:eastAsia="sk-SK"/>
        </w:rPr>
      </w:pPr>
    </w:p>
    <w:p w:rsidR="002B5435" w:rsidRDefault="00D71454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b/>
          <w:sz w:val="24"/>
          <w:szCs w:val="24"/>
          <w:lang w:eastAsia="sk-SK"/>
        </w:rPr>
      </w:pPr>
      <w:r>
        <w:rPr>
          <w:rFonts w:ascii="Arial" w:eastAsia="ArialMT" w:hAnsi="Arial" w:cs="Arial"/>
          <w:b/>
          <w:sz w:val="24"/>
          <w:szCs w:val="24"/>
          <w:lang w:eastAsia="sk-SK"/>
        </w:rPr>
        <w:t>Počet nových parkovacích miest po vybudovaní podzemných resp. nadzemných parkovacích domov sa zvýši na cca. 260</w:t>
      </w:r>
    </w:p>
    <w:p w:rsidR="002B5435" w:rsidRPr="002B5435" w:rsidRDefault="002B5435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b/>
          <w:sz w:val="24"/>
          <w:szCs w:val="24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>
        <w:rPr>
          <w:rFonts w:ascii="Arial" w:hAnsi="Arial" w:cs="Arial"/>
          <w:noProof/>
          <w:color w:val="000000"/>
          <w:lang w:eastAsia="sk-SK"/>
        </w:rPr>
        <w:drawing>
          <wp:inline distT="0" distB="0" distL="0" distR="0" wp14:anchorId="27830DAC" wp14:editId="69B0411F">
            <wp:extent cx="5760720" cy="4095750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95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532336" w:rsidRDefault="00C83A47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  <w:r w:rsidRPr="000F5869">
        <w:rPr>
          <w:rFonts w:ascii="Arial" w:eastAsia="Arial" w:hAnsi="Arial" w:cs="Arial"/>
          <w:b/>
          <w:noProof/>
          <w:u w:val="single"/>
          <w:lang w:eastAsia="sk-SK"/>
        </w:rPr>
        <w:drawing>
          <wp:anchor distT="0" distB="0" distL="114300" distR="114300" simplePos="0" relativeHeight="251659264" behindDoc="0" locked="0" layoutInCell="1" allowOverlap="1" wp14:anchorId="1CDF1A03" wp14:editId="35F5B723">
            <wp:simplePos x="0" y="0"/>
            <wp:positionH relativeFrom="margin">
              <wp:posOffset>2948305</wp:posOffset>
            </wp:positionH>
            <wp:positionV relativeFrom="paragraph">
              <wp:posOffset>5080</wp:posOffset>
            </wp:positionV>
            <wp:extent cx="2724150" cy="2162175"/>
            <wp:effectExtent l="0" t="0" r="0" b="9525"/>
            <wp:wrapSquare wrapText="bothSides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8C4">
        <w:rPr>
          <w:rFonts w:ascii="Arial" w:eastAsia="Arial" w:hAnsi="Arial" w:cs="Arial"/>
          <w:b/>
          <w:noProof/>
          <w:lang w:eastAsia="sk-SK"/>
        </w:rPr>
        <w:drawing>
          <wp:inline distT="0" distB="0" distL="0" distR="0" wp14:anchorId="1F6B46EC" wp14:editId="718C8919">
            <wp:extent cx="2743200" cy="2162175"/>
            <wp:effectExtent l="0" t="0" r="0" b="9525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482" cy="219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532336" w:rsidRPr="00532336" w:rsidRDefault="00532336" w:rsidP="00532336">
      <w:pPr>
        <w:autoSpaceDE w:val="0"/>
        <w:autoSpaceDN w:val="0"/>
        <w:adjustRightInd w:val="0"/>
        <w:spacing w:after="0" w:line="240" w:lineRule="auto"/>
        <w:rPr>
          <w:rFonts w:ascii="Arial" w:eastAsia="ArialMT" w:hAnsi="Arial" w:cs="Arial"/>
          <w:lang w:eastAsia="sk-SK"/>
        </w:rPr>
      </w:pPr>
    </w:p>
    <w:p w:rsidR="00D84126" w:rsidRDefault="00D84126"/>
    <w:sectPr w:rsidR="00D84126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0630" w:rsidRDefault="007F0630" w:rsidP="00532336">
      <w:pPr>
        <w:spacing w:after="0" w:line="240" w:lineRule="auto"/>
      </w:pPr>
      <w:r>
        <w:separator/>
      </w:r>
    </w:p>
  </w:endnote>
  <w:endnote w:type="continuationSeparator" w:id="0">
    <w:p w:rsidR="007F0630" w:rsidRDefault="007F0630" w:rsidP="005323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MT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0630" w:rsidRDefault="007F0630" w:rsidP="00532336">
      <w:pPr>
        <w:spacing w:after="0" w:line="240" w:lineRule="auto"/>
      </w:pPr>
      <w:r>
        <w:separator/>
      </w:r>
    </w:p>
  </w:footnote>
  <w:footnote w:type="continuationSeparator" w:id="0">
    <w:p w:rsidR="007F0630" w:rsidRDefault="007F0630" w:rsidP="005323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32336" w:rsidRDefault="00532336">
    <w:pPr>
      <w:pStyle w:val="Hlavika"/>
    </w:pPr>
    <w:r>
      <w:rPr>
        <w:noProof/>
        <w:lang w:eastAsia="sk-SK"/>
      </w:rPr>
      <w:drawing>
        <wp:anchor distT="0" distB="0" distL="114300" distR="114300" simplePos="0" relativeHeight="251659264" behindDoc="0" locked="0" layoutInCell="1" allowOverlap="1" wp14:anchorId="7EBB9297" wp14:editId="7CF39D31">
          <wp:simplePos x="0" y="0"/>
          <wp:positionH relativeFrom="margin">
            <wp:align>left</wp:align>
          </wp:positionH>
          <wp:positionV relativeFrom="paragraph">
            <wp:posOffset>-334010</wp:posOffset>
          </wp:positionV>
          <wp:extent cx="1533513" cy="781050"/>
          <wp:effectExtent l="0" t="0" r="0" b="0"/>
          <wp:wrapNone/>
          <wp:docPr id="11" name="Obrázok 11" descr="https://www.mfsr.sk/files/archiv/41/MinisterstvofinanciiSR_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www.mfsr.sk/files/archiv/41/MinisterstvofinanciiSR_new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706" t="24120" r="15994" b="34401"/>
                  <a:stretch/>
                </pic:blipFill>
                <pic:spPr bwMode="auto">
                  <a:xfrm>
                    <a:off x="0" y="0"/>
                    <a:ext cx="1533513" cy="781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D4F77"/>
    <w:multiLevelType w:val="hybridMultilevel"/>
    <w:tmpl w:val="3E18A40C"/>
    <w:lvl w:ilvl="0" w:tplc="D39CC760">
      <w:start w:val="6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2C391F"/>
    <w:multiLevelType w:val="hybridMultilevel"/>
    <w:tmpl w:val="3CC22D24"/>
    <w:lvl w:ilvl="0" w:tplc="F252D6FC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951B74"/>
    <w:multiLevelType w:val="multilevel"/>
    <w:tmpl w:val="DED886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2336"/>
    <w:rsid w:val="00082950"/>
    <w:rsid w:val="002B5435"/>
    <w:rsid w:val="003245C0"/>
    <w:rsid w:val="00532336"/>
    <w:rsid w:val="007F0630"/>
    <w:rsid w:val="007F5329"/>
    <w:rsid w:val="00C83A47"/>
    <w:rsid w:val="00D71454"/>
    <w:rsid w:val="00D84126"/>
    <w:rsid w:val="00DC6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D5F81"/>
  <w15:chartTrackingRefBased/>
  <w15:docId w15:val="{36B987DE-DF73-41C6-9AE8-C80CB7542C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5323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532336"/>
  </w:style>
  <w:style w:type="paragraph" w:styleId="Pta">
    <w:name w:val="footer"/>
    <w:basedOn w:val="Normlny"/>
    <w:link w:val="PtaChar"/>
    <w:uiPriority w:val="99"/>
    <w:unhideWhenUsed/>
    <w:rsid w:val="005323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532336"/>
  </w:style>
  <w:style w:type="paragraph" w:styleId="Odsekzoznamu">
    <w:name w:val="List Paragraph"/>
    <w:basedOn w:val="Normlny"/>
    <w:uiPriority w:val="34"/>
    <w:qFormat/>
    <w:rsid w:val="002B5435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DC6B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C6B4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4</Pages>
  <Words>550</Words>
  <Characters>3138</Characters>
  <Application>Microsoft Office Word</Application>
  <DocSecurity>0</DocSecurity>
  <Lines>26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Ministerstvo financii SR</Company>
  <LinksUpToDate>false</LinksUpToDate>
  <CharactersWithSpaces>3681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Sperla Jozef</dc:creator>
  <cp:keywords/>
  <dc:description/>
  <cp:lastModifiedBy>Sperla Jozef</cp:lastModifiedBy>
  <cp:revision>7</cp:revision>
  <cp:lastPrinted>2024-04-16T07:40:00Z</cp:lastPrinted>
  <dcterms:created xsi:type="dcterms:W3CDTF">2024-04-16T06:54:00Z</dcterms:created>
  <dcterms:modified xsi:type="dcterms:W3CDTF">2024-04-24T10:39:00Z</dcterms:modified>
</cp:coreProperties>
</file>